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178B" w14:textId="3D2E9F91" w:rsidR="00642F78" w:rsidRPr="00642F78" w:rsidRDefault="00642F78" w:rsidP="00642F78">
      <w:pPr>
        <w:jc w:val="both"/>
        <w:rPr>
          <w:b/>
          <w:bCs/>
          <w:sz w:val="32"/>
          <w:szCs w:val="32"/>
        </w:rPr>
      </w:pPr>
      <w:r w:rsidRPr="00642F78">
        <w:rPr>
          <w:b/>
          <w:bCs/>
          <w:sz w:val="32"/>
          <w:szCs w:val="32"/>
        </w:rPr>
        <w:t>ITF Enhancing Human Security</w:t>
      </w:r>
      <w:r w:rsidRPr="00DE53A4">
        <w:rPr>
          <w:b/>
          <w:bCs/>
          <w:sz w:val="32"/>
          <w:szCs w:val="32"/>
        </w:rPr>
        <w:t xml:space="preserve"> Update: </w:t>
      </w:r>
      <w:r w:rsidRPr="00642F78">
        <w:rPr>
          <w:b/>
          <w:bCs/>
          <w:sz w:val="32"/>
          <w:szCs w:val="32"/>
        </w:rPr>
        <w:t>2025 Results &amp; Strategy 2026–2030</w:t>
      </w:r>
    </w:p>
    <w:p w14:paraId="52580956" w14:textId="3B249B94" w:rsidR="00642F78" w:rsidRPr="00DE53A4" w:rsidRDefault="00642F78" w:rsidP="00DE53A4">
      <w:pPr>
        <w:pStyle w:val="ListParagraph"/>
        <w:numPr>
          <w:ilvl w:val="0"/>
          <w:numId w:val="3"/>
        </w:numPr>
        <w:jc w:val="both"/>
        <w:rPr>
          <w:b/>
          <w:bCs/>
          <w:sz w:val="22"/>
          <w:szCs w:val="22"/>
        </w:rPr>
      </w:pPr>
      <w:r w:rsidRPr="00DE53A4">
        <w:rPr>
          <w:b/>
          <w:bCs/>
          <w:sz w:val="22"/>
          <w:szCs w:val="22"/>
        </w:rPr>
        <w:t>ITF Work in 2025</w:t>
      </w:r>
    </w:p>
    <w:p w14:paraId="446581AF" w14:textId="5A0823FB" w:rsidR="006C712D" w:rsidRPr="00DE53A4" w:rsidRDefault="006C712D" w:rsidP="006C712D">
      <w:pPr>
        <w:jc w:val="both"/>
        <w:rPr>
          <w:sz w:val="22"/>
          <w:szCs w:val="22"/>
        </w:rPr>
      </w:pPr>
      <w:r w:rsidRPr="00DE53A4">
        <w:rPr>
          <w:sz w:val="22"/>
          <w:szCs w:val="22"/>
        </w:rPr>
        <w:t xml:space="preserve">In 2025, ITF operated in </w:t>
      </w:r>
      <w:r w:rsidRPr="00DE53A4">
        <w:rPr>
          <w:b/>
          <w:bCs/>
          <w:sz w:val="22"/>
          <w:szCs w:val="22"/>
        </w:rPr>
        <w:t>19 countries and regions</w:t>
      </w:r>
      <w:r w:rsidR="00AA578E">
        <w:rPr>
          <w:sz w:val="22"/>
          <w:szCs w:val="22"/>
        </w:rPr>
        <w:t xml:space="preserve">: </w:t>
      </w:r>
      <w:r w:rsidR="00AA578E" w:rsidRPr="00AA578E">
        <w:rPr>
          <w:sz w:val="22"/>
          <w:szCs w:val="22"/>
        </w:rPr>
        <w:t xml:space="preserve">Afghanistan, Albania, Armenia, Azerbaijan, BiH, Croatia, Georgia, Kazakhstan, Kyrgyz Republic, Lebanon, Libya, Montenegro, Moldova, </w:t>
      </w:r>
      <w:r w:rsidR="00AA578E">
        <w:rPr>
          <w:sz w:val="22"/>
          <w:szCs w:val="22"/>
        </w:rPr>
        <w:t xml:space="preserve">Palestine, </w:t>
      </w:r>
      <w:r w:rsidR="00AA578E" w:rsidRPr="00AA578E">
        <w:rPr>
          <w:sz w:val="22"/>
          <w:szCs w:val="22"/>
        </w:rPr>
        <w:t>Serbia, NE Syria, North Macedonia, Iraq</w:t>
      </w:r>
      <w:r w:rsidR="00AA578E">
        <w:rPr>
          <w:sz w:val="22"/>
          <w:szCs w:val="22"/>
        </w:rPr>
        <w:t xml:space="preserve"> and </w:t>
      </w:r>
      <w:r w:rsidR="00AA578E" w:rsidRPr="00AA578E">
        <w:rPr>
          <w:sz w:val="22"/>
          <w:szCs w:val="22"/>
        </w:rPr>
        <w:t>Ukraine</w:t>
      </w:r>
      <w:r w:rsidR="00AA578E">
        <w:rPr>
          <w:sz w:val="22"/>
          <w:szCs w:val="22"/>
        </w:rPr>
        <w:t>.</w:t>
      </w:r>
      <w:r w:rsidRPr="00DE53A4">
        <w:rPr>
          <w:sz w:val="22"/>
          <w:szCs w:val="22"/>
        </w:rPr>
        <w:t xml:space="preserve"> Activities addressed both long-standing contamination and emerging humanitarian needs in complex environments.</w:t>
      </w:r>
    </w:p>
    <w:p w14:paraId="052CFD88" w14:textId="6F7053E2" w:rsidR="006C712D" w:rsidRPr="006C712D" w:rsidRDefault="006C712D" w:rsidP="006C712D">
      <w:pPr>
        <w:jc w:val="both"/>
        <w:rPr>
          <w:sz w:val="22"/>
          <w:szCs w:val="22"/>
        </w:rPr>
      </w:pPr>
      <w:r w:rsidRPr="006C712D">
        <w:rPr>
          <w:sz w:val="22"/>
          <w:szCs w:val="22"/>
        </w:rPr>
        <w:t xml:space="preserve">A significant share of ITF’s work focused on </w:t>
      </w:r>
      <w:r w:rsidRPr="006C712D">
        <w:rPr>
          <w:b/>
          <w:bCs/>
          <w:sz w:val="22"/>
          <w:szCs w:val="22"/>
        </w:rPr>
        <w:t>capacity building</w:t>
      </w:r>
      <w:r w:rsidRPr="006C712D">
        <w:rPr>
          <w:sz w:val="22"/>
          <w:szCs w:val="22"/>
        </w:rPr>
        <w:t>, particularly in Ukraine</w:t>
      </w:r>
      <w:r w:rsidR="00DE53A4" w:rsidRPr="00DE53A4">
        <w:rPr>
          <w:sz w:val="22"/>
          <w:szCs w:val="22"/>
        </w:rPr>
        <w:t xml:space="preserve">, </w:t>
      </w:r>
      <w:r w:rsidRPr="006C712D">
        <w:rPr>
          <w:sz w:val="22"/>
          <w:szCs w:val="22"/>
        </w:rPr>
        <w:t xml:space="preserve">Iraq, </w:t>
      </w:r>
      <w:r w:rsidRPr="00DE53A4">
        <w:rPr>
          <w:sz w:val="22"/>
          <w:szCs w:val="22"/>
        </w:rPr>
        <w:t xml:space="preserve">Syria </w:t>
      </w:r>
      <w:r w:rsidRPr="006C712D">
        <w:rPr>
          <w:sz w:val="22"/>
          <w:szCs w:val="22"/>
        </w:rPr>
        <w:t xml:space="preserve">and </w:t>
      </w:r>
      <w:r w:rsidR="00DE53A4" w:rsidRPr="00DE53A4">
        <w:rPr>
          <w:sz w:val="22"/>
          <w:szCs w:val="22"/>
        </w:rPr>
        <w:t>in the Southeast Europe</w:t>
      </w:r>
      <w:r w:rsidRPr="006C712D">
        <w:rPr>
          <w:sz w:val="22"/>
          <w:szCs w:val="22"/>
        </w:rPr>
        <w:t>, where support was directed toward strengthening national institutions, coordination mechanisms, and operational capabilities in mine action and broader security sectors.</w:t>
      </w:r>
    </w:p>
    <w:p w14:paraId="2A06ED8D" w14:textId="20A132DA" w:rsidR="006C712D" w:rsidRPr="006C712D" w:rsidRDefault="006C712D" w:rsidP="006C712D">
      <w:pPr>
        <w:jc w:val="both"/>
        <w:rPr>
          <w:sz w:val="22"/>
          <w:szCs w:val="22"/>
        </w:rPr>
      </w:pPr>
      <w:r w:rsidRPr="006C712D">
        <w:rPr>
          <w:sz w:val="22"/>
          <w:szCs w:val="22"/>
        </w:rPr>
        <w:t xml:space="preserve">Operational mine action activities were implemented in countries such as Bosnia and Herzegovina, </w:t>
      </w:r>
      <w:r w:rsidR="00DE53A4" w:rsidRPr="00DE53A4">
        <w:rPr>
          <w:sz w:val="22"/>
          <w:szCs w:val="22"/>
        </w:rPr>
        <w:t xml:space="preserve">Serbia, </w:t>
      </w:r>
      <w:r w:rsidRPr="006C712D">
        <w:rPr>
          <w:sz w:val="22"/>
          <w:szCs w:val="22"/>
        </w:rPr>
        <w:t xml:space="preserve">Ukraine, Iraq, </w:t>
      </w:r>
      <w:r w:rsidRPr="00DE53A4">
        <w:rPr>
          <w:sz w:val="22"/>
          <w:szCs w:val="22"/>
        </w:rPr>
        <w:t xml:space="preserve">Syria </w:t>
      </w:r>
      <w:r w:rsidRPr="006C712D">
        <w:rPr>
          <w:sz w:val="22"/>
          <w:szCs w:val="22"/>
        </w:rPr>
        <w:t xml:space="preserve">and Lebanon. In 2025, a total of </w:t>
      </w:r>
      <w:r w:rsidRPr="006C712D">
        <w:rPr>
          <w:b/>
          <w:bCs/>
          <w:sz w:val="22"/>
          <w:szCs w:val="22"/>
        </w:rPr>
        <w:t>4,987,111 sq</w:t>
      </w:r>
      <w:r w:rsidR="00AA578E" w:rsidRPr="00AA578E">
        <w:rPr>
          <w:b/>
          <w:bCs/>
          <w:sz w:val="22"/>
          <w:szCs w:val="22"/>
        </w:rPr>
        <w:t>m</w:t>
      </w:r>
      <w:r w:rsidRPr="006C712D">
        <w:rPr>
          <w:sz w:val="22"/>
          <w:szCs w:val="22"/>
        </w:rPr>
        <w:t xml:space="preserve"> of land were cleared and released for safe use. During these operations, </w:t>
      </w:r>
      <w:r w:rsidRPr="006C712D">
        <w:rPr>
          <w:b/>
          <w:bCs/>
          <w:sz w:val="22"/>
          <w:szCs w:val="22"/>
        </w:rPr>
        <w:t>2,529 landmines</w:t>
      </w:r>
      <w:r w:rsidRPr="006C712D">
        <w:rPr>
          <w:sz w:val="22"/>
          <w:szCs w:val="22"/>
        </w:rPr>
        <w:t xml:space="preserve"> and </w:t>
      </w:r>
      <w:r w:rsidRPr="006C712D">
        <w:rPr>
          <w:b/>
          <w:bCs/>
          <w:sz w:val="22"/>
          <w:szCs w:val="22"/>
        </w:rPr>
        <w:t>845 items of unexploded ordnance</w:t>
      </w:r>
      <w:r w:rsidRPr="006C712D">
        <w:rPr>
          <w:sz w:val="22"/>
          <w:szCs w:val="22"/>
        </w:rPr>
        <w:t xml:space="preserve"> were identified and destroyed, enabling safer access to land, infrastructure, and natural resources.</w:t>
      </w:r>
    </w:p>
    <w:p w14:paraId="66D3F4F7" w14:textId="04401921" w:rsidR="006C712D" w:rsidRPr="006C712D" w:rsidRDefault="006C712D" w:rsidP="006C712D">
      <w:pPr>
        <w:jc w:val="both"/>
        <w:rPr>
          <w:sz w:val="22"/>
          <w:szCs w:val="22"/>
        </w:rPr>
      </w:pPr>
      <w:r w:rsidRPr="006C712D">
        <w:rPr>
          <w:sz w:val="22"/>
          <w:szCs w:val="22"/>
        </w:rPr>
        <w:t xml:space="preserve">Risk education activities were carried out in Bosnia and Herzegovina, </w:t>
      </w:r>
      <w:r w:rsidR="00DE53A4" w:rsidRPr="00DE53A4">
        <w:rPr>
          <w:sz w:val="22"/>
          <w:szCs w:val="22"/>
        </w:rPr>
        <w:t>Lebanon, Syria, Ukraine</w:t>
      </w:r>
      <w:r w:rsidRPr="006C712D">
        <w:rPr>
          <w:sz w:val="22"/>
          <w:szCs w:val="22"/>
        </w:rPr>
        <w:t xml:space="preserve">, and other affected areas, reaching </w:t>
      </w:r>
      <w:r w:rsidRPr="006C712D">
        <w:rPr>
          <w:b/>
          <w:bCs/>
          <w:sz w:val="22"/>
          <w:szCs w:val="22"/>
        </w:rPr>
        <w:t xml:space="preserve">30,945 </w:t>
      </w:r>
      <w:r w:rsidRPr="006C712D">
        <w:rPr>
          <w:sz w:val="22"/>
          <w:szCs w:val="22"/>
        </w:rPr>
        <w:t>beneficiaries. These efforts focused on raising awareness among communities</w:t>
      </w:r>
      <w:r w:rsidR="00DE53A4" w:rsidRPr="00DE53A4">
        <w:rPr>
          <w:sz w:val="22"/>
          <w:szCs w:val="22"/>
        </w:rPr>
        <w:t xml:space="preserve"> - </w:t>
      </w:r>
      <w:r w:rsidRPr="006C712D">
        <w:rPr>
          <w:sz w:val="22"/>
          <w:szCs w:val="22"/>
        </w:rPr>
        <w:t>especially children and vulnerable groups</w:t>
      </w:r>
      <w:r w:rsidR="00DE53A4" w:rsidRPr="00DE53A4">
        <w:rPr>
          <w:sz w:val="22"/>
          <w:szCs w:val="22"/>
        </w:rPr>
        <w:t xml:space="preserve"> - </w:t>
      </w:r>
      <w:r w:rsidRPr="006C712D">
        <w:rPr>
          <w:sz w:val="22"/>
          <w:szCs w:val="22"/>
        </w:rPr>
        <w:t>about the risks of explosive hazards and promoting safer behaviour.</w:t>
      </w:r>
    </w:p>
    <w:p w14:paraId="6C699127" w14:textId="5E203001" w:rsidR="006C712D" w:rsidRPr="006C712D" w:rsidRDefault="006C712D" w:rsidP="006C712D">
      <w:pPr>
        <w:jc w:val="both"/>
        <w:rPr>
          <w:sz w:val="22"/>
          <w:szCs w:val="22"/>
        </w:rPr>
      </w:pPr>
      <w:r w:rsidRPr="006C712D">
        <w:rPr>
          <w:sz w:val="22"/>
          <w:szCs w:val="22"/>
        </w:rPr>
        <w:t xml:space="preserve">Victim assistance programmes were implemented across multiple contexts, including Ukraine, Moldova, Palestine, Afghanistan, </w:t>
      </w:r>
      <w:r w:rsidR="00DE53A4" w:rsidRPr="00DE53A4">
        <w:rPr>
          <w:sz w:val="22"/>
          <w:szCs w:val="22"/>
        </w:rPr>
        <w:t xml:space="preserve">in the Southeast Europe, </w:t>
      </w:r>
      <w:r w:rsidR="00DE53A4" w:rsidRPr="006C712D">
        <w:rPr>
          <w:sz w:val="22"/>
          <w:szCs w:val="22"/>
        </w:rPr>
        <w:t>and other affected areas</w:t>
      </w:r>
      <w:r w:rsidRPr="006C712D">
        <w:rPr>
          <w:sz w:val="22"/>
          <w:szCs w:val="22"/>
        </w:rPr>
        <w:t xml:space="preserve">. In 2025, </w:t>
      </w:r>
      <w:r w:rsidRPr="006C712D">
        <w:rPr>
          <w:b/>
          <w:bCs/>
          <w:sz w:val="22"/>
          <w:szCs w:val="22"/>
        </w:rPr>
        <w:t>5,265</w:t>
      </w:r>
      <w:r w:rsidRPr="006C712D">
        <w:rPr>
          <w:sz w:val="22"/>
          <w:szCs w:val="22"/>
        </w:rPr>
        <w:t xml:space="preserve"> beneficiaries received medical care, rehabilitation services, prosthetics, and assistive devices, supporting recovery and functional independence. In parallel, </w:t>
      </w:r>
      <w:r w:rsidRPr="006C712D">
        <w:rPr>
          <w:b/>
          <w:bCs/>
          <w:sz w:val="22"/>
          <w:szCs w:val="22"/>
        </w:rPr>
        <w:t>4,239</w:t>
      </w:r>
      <w:r w:rsidRPr="006C712D">
        <w:rPr>
          <w:sz w:val="22"/>
          <w:szCs w:val="22"/>
        </w:rPr>
        <w:t xml:space="preserve"> beneficiaries received mental health, psychosocial, and economic support. This included counselling, school-based psychosocial programmes, and community-level activities, particularly in Ukraine and Moldova, where children and families continue to face prolonged stress, displacement, and disruption to daily life.</w:t>
      </w:r>
    </w:p>
    <w:p w14:paraId="28F274D0" w14:textId="72507CC1" w:rsidR="006C712D" w:rsidRPr="006C712D" w:rsidRDefault="006C712D" w:rsidP="006C712D">
      <w:pPr>
        <w:jc w:val="both"/>
        <w:rPr>
          <w:sz w:val="22"/>
          <w:szCs w:val="22"/>
        </w:rPr>
      </w:pPr>
      <w:r w:rsidRPr="006C712D">
        <w:rPr>
          <w:sz w:val="22"/>
          <w:szCs w:val="22"/>
        </w:rPr>
        <w:t xml:space="preserve">In the area of weapons and ammunition management, activities were carried out in Southeast Europe, as well as in selected countries in the </w:t>
      </w:r>
      <w:r w:rsidR="00DE53A4" w:rsidRPr="00DE53A4">
        <w:rPr>
          <w:sz w:val="22"/>
          <w:szCs w:val="22"/>
        </w:rPr>
        <w:t>Central Asia</w:t>
      </w:r>
      <w:r w:rsidRPr="006C712D">
        <w:rPr>
          <w:sz w:val="22"/>
          <w:szCs w:val="22"/>
        </w:rPr>
        <w:t xml:space="preserve">. ITF supported the destruction of surplus weapons and the demilitarization of </w:t>
      </w:r>
      <w:r w:rsidRPr="006C712D">
        <w:rPr>
          <w:b/>
          <w:bCs/>
          <w:sz w:val="22"/>
          <w:szCs w:val="22"/>
        </w:rPr>
        <w:t>111.19</w:t>
      </w:r>
      <w:r w:rsidRPr="006C712D">
        <w:rPr>
          <w:sz w:val="22"/>
          <w:szCs w:val="22"/>
        </w:rPr>
        <w:t xml:space="preserve"> metric tons of obsolete ammunition, reducing risks associated with unsafe storage, accidental explosions, and illicit diversion.</w:t>
      </w:r>
    </w:p>
    <w:p w14:paraId="78781BE9" w14:textId="6CDFA393" w:rsidR="006C712D" w:rsidRPr="006C712D" w:rsidRDefault="006C712D" w:rsidP="006C712D">
      <w:pPr>
        <w:jc w:val="both"/>
        <w:rPr>
          <w:sz w:val="22"/>
          <w:szCs w:val="22"/>
        </w:rPr>
      </w:pPr>
      <w:r w:rsidRPr="006C712D">
        <w:rPr>
          <w:sz w:val="22"/>
          <w:szCs w:val="22"/>
        </w:rPr>
        <w:t xml:space="preserve">Financially, ITF raised </w:t>
      </w:r>
      <w:r w:rsidR="00AA578E" w:rsidRPr="00AA578E">
        <w:rPr>
          <w:b/>
          <w:bCs/>
          <w:sz w:val="22"/>
          <w:szCs w:val="22"/>
        </w:rPr>
        <w:t>$</w:t>
      </w:r>
      <w:r w:rsidRPr="006C712D">
        <w:rPr>
          <w:b/>
          <w:bCs/>
          <w:sz w:val="22"/>
          <w:szCs w:val="22"/>
        </w:rPr>
        <w:t>45,080,995.53</w:t>
      </w:r>
      <w:r w:rsidRPr="006C712D">
        <w:rPr>
          <w:sz w:val="22"/>
          <w:szCs w:val="22"/>
        </w:rPr>
        <w:t xml:space="preserve"> US in 2025, with </w:t>
      </w:r>
      <w:r w:rsidR="00AA578E" w:rsidRPr="00AA578E">
        <w:rPr>
          <w:b/>
          <w:bCs/>
          <w:sz w:val="22"/>
          <w:szCs w:val="22"/>
        </w:rPr>
        <w:t>$1</w:t>
      </w:r>
      <w:r w:rsidRPr="006C712D">
        <w:rPr>
          <w:b/>
          <w:bCs/>
          <w:sz w:val="22"/>
          <w:szCs w:val="22"/>
        </w:rPr>
        <w:t>6,900,424.01</w:t>
      </w:r>
      <w:r w:rsidRPr="006C712D">
        <w:rPr>
          <w:sz w:val="22"/>
          <w:szCs w:val="22"/>
        </w:rPr>
        <w:t xml:space="preserve"> US allocated to programme implementation. Overall, the portfolio reflects a balanced approach, combining operational delivery with institutional strengthening, in line with the needs of affected countries.</w:t>
      </w:r>
    </w:p>
    <w:p w14:paraId="18112D2B" w14:textId="77777777" w:rsidR="00DE53A4" w:rsidRDefault="006C712D" w:rsidP="00642F78">
      <w:pPr>
        <w:jc w:val="both"/>
        <w:rPr>
          <w:sz w:val="22"/>
          <w:szCs w:val="22"/>
        </w:rPr>
      </w:pPr>
      <w:r w:rsidRPr="006C712D">
        <w:rPr>
          <w:sz w:val="22"/>
          <w:szCs w:val="22"/>
        </w:rPr>
        <w:t>Through these activities, ITF contributed to reducing immediate threats, restoring access to land and services, and strengthening the capacity of national systems to manage risks in a sustainable manner.</w:t>
      </w:r>
    </w:p>
    <w:p w14:paraId="2550E581" w14:textId="68A93D9B" w:rsidR="00642F78" w:rsidRPr="00DE53A4" w:rsidRDefault="00642F78" w:rsidP="00DE53A4">
      <w:pPr>
        <w:pStyle w:val="ListParagraph"/>
        <w:numPr>
          <w:ilvl w:val="0"/>
          <w:numId w:val="3"/>
        </w:numPr>
        <w:jc w:val="both"/>
        <w:rPr>
          <w:sz w:val="22"/>
          <w:szCs w:val="22"/>
        </w:rPr>
      </w:pPr>
      <w:r w:rsidRPr="00DE53A4">
        <w:rPr>
          <w:b/>
          <w:bCs/>
          <w:sz w:val="22"/>
          <w:szCs w:val="22"/>
        </w:rPr>
        <w:lastRenderedPageBreak/>
        <w:t>Strategy 2026–2030</w:t>
      </w:r>
    </w:p>
    <w:p w14:paraId="3A6F22F7" w14:textId="2580D11D" w:rsidR="005B5D3D" w:rsidRPr="00DE53A4" w:rsidRDefault="005B5D3D" w:rsidP="005B5D3D">
      <w:pPr>
        <w:jc w:val="both"/>
        <w:rPr>
          <w:sz w:val="22"/>
          <w:szCs w:val="22"/>
        </w:rPr>
      </w:pPr>
      <w:r w:rsidRPr="00DE53A4">
        <w:rPr>
          <w:sz w:val="22"/>
          <w:szCs w:val="22"/>
        </w:rPr>
        <w:t>ITF’s Strategy for 2026–2030 does not fundamentally change the organization’s core mission. ITF remains committed to reducing risks and supporting communities affected by conflict. However, the new strategy introduces a more structured, clearly defined, and adaptable framework that better reflects the complexity of current operational environments and strengthens the link between activities and long-term impact.</w:t>
      </w:r>
    </w:p>
    <w:p w14:paraId="549D2104" w14:textId="77777777" w:rsidR="005B5D3D" w:rsidRPr="005B5D3D" w:rsidRDefault="005B5D3D" w:rsidP="005B5D3D">
      <w:pPr>
        <w:jc w:val="both"/>
        <w:rPr>
          <w:sz w:val="22"/>
          <w:szCs w:val="22"/>
        </w:rPr>
      </w:pPr>
      <w:r w:rsidRPr="005B5D3D">
        <w:rPr>
          <w:sz w:val="22"/>
          <w:szCs w:val="22"/>
        </w:rPr>
        <w:t>At its core, the strategy reorganizes ITF’s areas of work into four clearly defined pillars:</w:t>
      </w:r>
    </w:p>
    <w:p w14:paraId="34F5F448" w14:textId="77777777" w:rsidR="00DE53A4" w:rsidRDefault="005B5D3D" w:rsidP="00DE53A4">
      <w:pPr>
        <w:pStyle w:val="ListParagraph"/>
        <w:numPr>
          <w:ilvl w:val="0"/>
          <w:numId w:val="4"/>
        </w:numPr>
        <w:jc w:val="both"/>
        <w:rPr>
          <w:sz w:val="22"/>
          <w:szCs w:val="22"/>
        </w:rPr>
      </w:pPr>
      <w:r w:rsidRPr="00DE53A4">
        <w:rPr>
          <w:b/>
          <w:bCs/>
          <w:sz w:val="22"/>
          <w:szCs w:val="22"/>
        </w:rPr>
        <w:t>Humanitarian Mine Action (HMA)</w:t>
      </w:r>
      <w:r w:rsidRPr="00DE53A4">
        <w:rPr>
          <w:sz w:val="22"/>
          <w:szCs w:val="22"/>
        </w:rPr>
        <w:t xml:space="preserve">, including clearance, mine risk education, mine victim assistance, advocacy, and stockpile destruction; </w:t>
      </w:r>
    </w:p>
    <w:p w14:paraId="00603E1D" w14:textId="77777777" w:rsidR="00DE53A4" w:rsidRDefault="005B5D3D" w:rsidP="00DE53A4">
      <w:pPr>
        <w:pStyle w:val="ListParagraph"/>
        <w:numPr>
          <w:ilvl w:val="0"/>
          <w:numId w:val="4"/>
        </w:numPr>
        <w:jc w:val="both"/>
        <w:rPr>
          <w:sz w:val="22"/>
          <w:szCs w:val="22"/>
        </w:rPr>
      </w:pPr>
      <w:r w:rsidRPr="00DE53A4">
        <w:rPr>
          <w:b/>
          <w:bCs/>
          <w:sz w:val="22"/>
          <w:szCs w:val="22"/>
        </w:rPr>
        <w:t>Victim Assistance and Recovery</w:t>
      </w:r>
      <w:r w:rsidRPr="00DE53A4">
        <w:rPr>
          <w:sz w:val="22"/>
          <w:szCs w:val="22"/>
        </w:rPr>
        <w:t xml:space="preserve">, covering broader support to affected populations beyond mine victims, including medical care, rehabilitation, psychosocial support, and socio-economic inclusion; </w:t>
      </w:r>
    </w:p>
    <w:p w14:paraId="167D6F8A" w14:textId="77777777" w:rsidR="00DE53A4" w:rsidRDefault="005B5D3D" w:rsidP="00DE53A4">
      <w:pPr>
        <w:pStyle w:val="ListParagraph"/>
        <w:numPr>
          <w:ilvl w:val="0"/>
          <w:numId w:val="4"/>
        </w:numPr>
        <w:jc w:val="both"/>
        <w:rPr>
          <w:sz w:val="22"/>
          <w:szCs w:val="22"/>
        </w:rPr>
      </w:pPr>
      <w:r w:rsidRPr="00DE53A4">
        <w:rPr>
          <w:b/>
          <w:bCs/>
          <w:sz w:val="22"/>
          <w:szCs w:val="22"/>
        </w:rPr>
        <w:t>Weapons and Ammunition Management (WAM)</w:t>
      </w:r>
      <w:r w:rsidRPr="00DE53A4">
        <w:rPr>
          <w:sz w:val="22"/>
          <w:szCs w:val="22"/>
        </w:rPr>
        <w:t xml:space="preserve">, addressing risks related to stockpiles, surplus ammunition, and explosive hazards beyond landmines; </w:t>
      </w:r>
    </w:p>
    <w:p w14:paraId="162D30E7" w14:textId="2DAE65A0" w:rsidR="005B5D3D" w:rsidRPr="00DE53A4" w:rsidRDefault="005B5D3D" w:rsidP="00DE53A4">
      <w:pPr>
        <w:pStyle w:val="ListParagraph"/>
        <w:numPr>
          <w:ilvl w:val="0"/>
          <w:numId w:val="4"/>
        </w:numPr>
        <w:jc w:val="both"/>
        <w:rPr>
          <w:sz w:val="22"/>
          <w:szCs w:val="22"/>
        </w:rPr>
      </w:pPr>
      <w:r w:rsidRPr="00DE53A4">
        <w:rPr>
          <w:b/>
          <w:bCs/>
          <w:sz w:val="22"/>
          <w:szCs w:val="22"/>
        </w:rPr>
        <w:t>Community Resilience</w:t>
      </w:r>
      <w:r w:rsidRPr="00DE53A4">
        <w:rPr>
          <w:sz w:val="22"/>
          <w:szCs w:val="22"/>
        </w:rPr>
        <w:t xml:space="preserve">, focusing on strengthening the ability of communities to cope with and recover from complex risks, including those linked to conflict, displacement, and other vulnerabilities. </w:t>
      </w:r>
    </w:p>
    <w:p w14:paraId="5EB9D433" w14:textId="77777777" w:rsidR="005B5D3D" w:rsidRPr="005B5D3D" w:rsidRDefault="005B5D3D" w:rsidP="005B5D3D">
      <w:pPr>
        <w:jc w:val="both"/>
        <w:rPr>
          <w:sz w:val="22"/>
          <w:szCs w:val="22"/>
        </w:rPr>
      </w:pPr>
      <w:r w:rsidRPr="005B5D3D">
        <w:rPr>
          <w:sz w:val="22"/>
          <w:szCs w:val="22"/>
        </w:rPr>
        <w:t>This restructuring provides clearer distinctions between operational areas while also enabling stronger integration across them. In particular, the separation of victim assistance into a dedicated pillar reflects the growing recognition of its importance beyond mine action alone.</w:t>
      </w:r>
    </w:p>
    <w:p w14:paraId="1A0E90E8" w14:textId="686D9968" w:rsidR="005B5D3D" w:rsidRPr="005B5D3D" w:rsidRDefault="005B5D3D" w:rsidP="005B5D3D">
      <w:pPr>
        <w:jc w:val="both"/>
        <w:rPr>
          <w:sz w:val="22"/>
          <w:szCs w:val="22"/>
        </w:rPr>
      </w:pPr>
      <w:r w:rsidRPr="005B5D3D">
        <w:rPr>
          <w:sz w:val="22"/>
          <w:szCs w:val="22"/>
        </w:rPr>
        <w:t xml:space="preserve">The updated strategy also refines ITF’s overarching direction through a more detailed articulation of its vision and mission. </w:t>
      </w:r>
      <w:r w:rsidRPr="00DE53A4">
        <w:rPr>
          <w:sz w:val="22"/>
          <w:szCs w:val="22"/>
        </w:rPr>
        <w:t xml:space="preserve">ITF’s vision is now defined as a world free of threats to human security, where safety, dignity, resilience, and well-being of individuals and communities are assured. Its mission emphasizes enhancing the resilience of individuals and communities by reducing security risks, strengthening capacities, and fostering partnerships that enable safety and sustainable recovery. </w:t>
      </w:r>
      <w:r w:rsidRPr="005B5D3D">
        <w:rPr>
          <w:sz w:val="22"/>
          <w:szCs w:val="22"/>
        </w:rPr>
        <w:t>These elements were present in previous strategic frameworks but are now more explicitly defined and operationalized.</w:t>
      </w:r>
    </w:p>
    <w:p w14:paraId="3BD9C8BB" w14:textId="77777777" w:rsidR="005B5D3D" w:rsidRPr="005B5D3D" w:rsidRDefault="005B5D3D" w:rsidP="005B5D3D">
      <w:pPr>
        <w:jc w:val="both"/>
        <w:rPr>
          <w:sz w:val="22"/>
          <w:szCs w:val="22"/>
        </w:rPr>
      </w:pPr>
      <w:r w:rsidRPr="005B5D3D">
        <w:rPr>
          <w:sz w:val="22"/>
          <w:szCs w:val="22"/>
        </w:rPr>
        <w:t>Importantly, the strategy introduces clearer objectives, expected outcomes, and guiding principles, improving coherence between strategic planning and field-level implementation. It also reinforces key cross-cutting priorities such as local ownership, partnerships, and accountability, ensuring that ITF’s interventions remain relevant, effective, and sustainable.</w:t>
      </w:r>
    </w:p>
    <w:p w14:paraId="2CF68D78" w14:textId="77777777" w:rsidR="005B5D3D" w:rsidRPr="005B5D3D" w:rsidRDefault="005B5D3D" w:rsidP="005B5D3D">
      <w:pPr>
        <w:jc w:val="both"/>
        <w:rPr>
          <w:sz w:val="22"/>
          <w:szCs w:val="22"/>
        </w:rPr>
      </w:pPr>
      <w:r w:rsidRPr="005B5D3D">
        <w:rPr>
          <w:sz w:val="22"/>
          <w:szCs w:val="22"/>
        </w:rPr>
        <w:t>Overall, the 2026–2030 strategy represents an evolution rather than a transformation. By reorganizing its structure, clarifying its priorities, and aligning more closely with the realities on the ground, ITF is better positioned to deliver coordinated, high-quality support to communities affected by conflict and insecurity, while remaining responsive to emerging challenges.</w:t>
      </w:r>
    </w:p>
    <w:p w14:paraId="5DC4C9CD" w14:textId="4FA310D5" w:rsidR="007D714E" w:rsidRPr="00DE53A4" w:rsidRDefault="007D714E" w:rsidP="00642F78">
      <w:pPr>
        <w:jc w:val="both"/>
        <w:rPr>
          <w:sz w:val="22"/>
          <w:szCs w:val="22"/>
        </w:rPr>
      </w:pPr>
    </w:p>
    <w:sectPr w:rsidR="007D714E" w:rsidRPr="00DE53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E4B6C"/>
    <w:multiLevelType w:val="hybridMultilevel"/>
    <w:tmpl w:val="53F42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5305D85"/>
    <w:multiLevelType w:val="multilevel"/>
    <w:tmpl w:val="F054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514908"/>
    <w:multiLevelType w:val="multilevel"/>
    <w:tmpl w:val="F842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14818"/>
    <w:multiLevelType w:val="hybridMultilevel"/>
    <w:tmpl w:val="F39A21B6"/>
    <w:lvl w:ilvl="0" w:tplc="4538E9E8">
      <w:numFmt w:val="bullet"/>
      <w:lvlText w:val="-"/>
      <w:lvlJc w:val="left"/>
      <w:pPr>
        <w:ind w:left="720" w:hanging="360"/>
      </w:pPr>
      <w:rPr>
        <w:rFonts w:ascii="Aptos" w:eastAsiaTheme="minorHAnsi" w:hAnsi="Aptos" w:cstheme="minorBidi"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77475697">
    <w:abstractNumId w:val="2"/>
  </w:num>
  <w:num w:numId="2" w16cid:durableId="1761639407">
    <w:abstractNumId w:val="1"/>
  </w:num>
  <w:num w:numId="3" w16cid:durableId="970482264">
    <w:abstractNumId w:val="0"/>
  </w:num>
  <w:num w:numId="4" w16cid:durableId="2100985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78"/>
    <w:rsid w:val="004C7A0E"/>
    <w:rsid w:val="005B5D3D"/>
    <w:rsid w:val="00642F78"/>
    <w:rsid w:val="006530F6"/>
    <w:rsid w:val="006C712D"/>
    <w:rsid w:val="007A7A77"/>
    <w:rsid w:val="007D714E"/>
    <w:rsid w:val="008078B4"/>
    <w:rsid w:val="00AA578E"/>
    <w:rsid w:val="00DE53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2821"/>
  <w15:chartTrackingRefBased/>
  <w15:docId w15:val="{9CB4ACCF-D38E-4A21-BEC0-726160254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2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F78"/>
    <w:rPr>
      <w:rFonts w:eastAsiaTheme="majorEastAsia" w:cstheme="majorBidi"/>
      <w:color w:val="272727" w:themeColor="text1" w:themeTint="D8"/>
    </w:rPr>
  </w:style>
  <w:style w:type="paragraph" w:styleId="Title">
    <w:name w:val="Title"/>
    <w:basedOn w:val="Normal"/>
    <w:next w:val="Normal"/>
    <w:link w:val="TitleChar"/>
    <w:uiPriority w:val="10"/>
    <w:qFormat/>
    <w:rsid w:val="00642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F78"/>
    <w:pPr>
      <w:spacing w:before="160"/>
      <w:jc w:val="center"/>
    </w:pPr>
    <w:rPr>
      <w:i/>
      <w:iCs/>
      <w:color w:val="404040" w:themeColor="text1" w:themeTint="BF"/>
    </w:rPr>
  </w:style>
  <w:style w:type="character" w:customStyle="1" w:styleId="QuoteChar">
    <w:name w:val="Quote Char"/>
    <w:basedOn w:val="DefaultParagraphFont"/>
    <w:link w:val="Quote"/>
    <w:uiPriority w:val="29"/>
    <w:rsid w:val="00642F78"/>
    <w:rPr>
      <w:i/>
      <w:iCs/>
      <w:color w:val="404040" w:themeColor="text1" w:themeTint="BF"/>
    </w:rPr>
  </w:style>
  <w:style w:type="paragraph" w:styleId="ListParagraph">
    <w:name w:val="List Paragraph"/>
    <w:basedOn w:val="Normal"/>
    <w:uiPriority w:val="34"/>
    <w:qFormat/>
    <w:rsid w:val="00642F78"/>
    <w:pPr>
      <w:ind w:left="720"/>
      <w:contextualSpacing/>
    </w:pPr>
  </w:style>
  <w:style w:type="character" w:styleId="IntenseEmphasis">
    <w:name w:val="Intense Emphasis"/>
    <w:basedOn w:val="DefaultParagraphFont"/>
    <w:uiPriority w:val="21"/>
    <w:qFormat/>
    <w:rsid w:val="00642F78"/>
    <w:rPr>
      <w:i/>
      <w:iCs/>
      <w:color w:val="0F4761" w:themeColor="accent1" w:themeShade="BF"/>
    </w:rPr>
  </w:style>
  <w:style w:type="paragraph" w:styleId="IntenseQuote">
    <w:name w:val="Intense Quote"/>
    <w:basedOn w:val="Normal"/>
    <w:next w:val="Normal"/>
    <w:link w:val="IntenseQuoteChar"/>
    <w:uiPriority w:val="30"/>
    <w:qFormat/>
    <w:rsid w:val="00642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F78"/>
    <w:rPr>
      <w:i/>
      <w:iCs/>
      <w:color w:val="0F4761" w:themeColor="accent1" w:themeShade="BF"/>
    </w:rPr>
  </w:style>
  <w:style w:type="character" w:styleId="IntenseReference">
    <w:name w:val="Intense Reference"/>
    <w:basedOn w:val="DefaultParagraphFont"/>
    <w:uiPriority w:val="32"/>
    <w:qFormat/>
    <w:rsid w:val="00642F78"/>
    <w:rPr>
      <w:b/>
      <w:bCs/>
      <w:smallCaps/>
      <w:color w:val="0F4761" w:themeColor="accent1" w:themeShade="BF"/>
      <w:spacing w:val="5"/>
    </w:rPr>
  </w:style>
  <w:style w:type="paragraph" w:styleId="NormalWeb">
    <w:name w:val="Normal (Web)"/>
    <w:basedOn w:val="Normal"/>
    <w:uiPriority w:val="99"/>
    <w:semiHidden/>
    <w:unhideWhenUsed/>
    <w:rsid w:val="00642F7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870</Words>
  <Characters>4961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Mohar</dc:creator>
  <cp:keywords/>
  <dc:description/>
  <cp:lastModifiedBy>Sabina Beber</cp:lastModifiedBy>
  <cp:revision>2</cp:revision>
  <cp:lastPrinted>2026-04-21T06:46:00Z</cp:lastPrinted>
  <dcterms:created xsi:type="dcterms:W3CDTF">2026-04-21T06:47:00Z</dcterms:created>
  <dcterms:modified xsi:type="dcterms:W3CDTF">2026-04-21T06:47:00Z</dcterms:modified>
</cp:coreProperties>
</file>